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11" w:rsidRPr="00A82598" w:rsidRDefault="004411E0" w:rsidP="004411E0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A82598">
        <w:rPr>
          <w:rFonts w:ascii="Arial Black" w:hAnsi="Arial Black"/>
          <w:b/>
          <w:sz w:val="32"/>
          <w:szCs w:val="32"/>
          <w:u w:val="single"/>
        </w:rPr>
        <w:t>EJERCICIO 3 TEMA 11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70"/>
        <w:gridCol w:w="2223"/>
      </w:tblGrid>
      <w:tr w:rsidR="004411E0" w:rsidRPr="000E5E5C" w:rsidTr="00CB58FD">
        <w:trPr>
          <w:trHeight w:hRule="exact" w:val="289"/>
        </w:trPr>
        <w:tc>
          <w:tcPr>
            <w:tcW w:w="48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4411E0" w:rsidP="00695D92">
            <w:pPr>
              <w:widowControl w:val="0"/>
              <w:spacing w:before="69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 </w:t>
            </w:r>
            <w:r w:rsidR="00C8451E"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Otros gastos sociales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C8451E" w:rsidP="00695D92">
            <w:pPr>
              <w:widowControl w:val="0"/>
              <w:spacing w:before="69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290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C8451E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Servicios bancarios y similares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C8451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1.2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4411E0" w:rsidRPr="000E5E5C" w:rsidTr="00CB58FD">
        <w:trPr>
          <w:trHeight w:hRule="exact" w:val="28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86594E" w:rsidP="0086594E">
            <w:pPr>
              <w:widowControl w:val="0"/>
              <w:spacing w:before="26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8259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Variación de valor razonable en </w:t>
            </w:r>
            <w:proofErr w:type="spellStart"/>
            <w:r w:rsidRPr="00A82598">
              <w:rPr>
                <w:rFonts w:ascii="Comic Sans MS" w:eastAsia="Times New Roman" w:hAnsi="Comic Sans MS" w:cs="Times New Roman"/>
                <w:sz w:val="24"/>
                <w:szCs w:val="24"/>
              </w:rPr>
              <w:t>instr</w:t>
            </w:r>
            <w:proofErr w:type="spellEnd"/>
            <w:r w:rsidRPr="00A8259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  <w:proofErr w:type="spellStart"/>
            <w:r w:rsidRPr="00A82598">
              <w:rPr>
                <w:rFonts w:ascii="Comic Sans MS" w:eastAsia="Times New Roman" w:hAnsi="Comic Sans MS" w:cs="Times New Roman"/>
                <w:sz w:val="24"/>
                <w:szCs w:val="24"/>
              </w:rPr>
              <w:t>financ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41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4411E0" w:rsidRPr="000E5E5C" w:rsidRDefault="004411E0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411E0" w:rsidRPr="000E5E5C" w:rsidRDefault="004411E0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1E0" w:rsidRPr="000E5E5C" w:rsidTr="00CB58FD">
        <w:trPr>
          <w:trHeight w:hRule="exact" w:val="29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</w:pPr>
            <w:proofErr w:type="spellStart"/>
            <w:r w:rsidRPr="00A82598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>Diferencias</w:t>
            </w:r>
            <w:proofErr w:type="spellEnd"/>
            <w:r w:rsidRPr="00A82598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2598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4411E0" w:rsidP="00695D92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659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59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4411E0" w:rsidRPr="000E5E5C" w:rsidTr="00CB58FD">
        <w:trPr>
          <w:trHeight w:hRule="exact" w:val="289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Exceso</w:t>
            </w:r>
            <w:proofErr w:type="spellEnd"/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provisiones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441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30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82598">
              <w:rPr>
                <w:rFonts w:ascii="Comic Sans MS" w:eastAsia="Times New Roman" w:hAnsi="Comic Sans MS" w:cs="Times New Roman"/>
                <w:sz w:val="24"/>
                <w:szCs w:val="24"/>
              </w:rPr>
              <w:t>Trabajos realizados para otras empresas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29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86594E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Amortización de inmovilizado intangible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86594E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28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8259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Publicidad, propaganda y </w:t>
            </w:r>
            <w:proofErr w:type="spellStart"/>
            <w:r w:rsidRPr="00A82598">
              <w:rPr>
                <w:rFonts w:ascii="Comic Sans MS" w:eastAsia="Calibri" w:hAnsi="Comic Sans MS" w:cs="Times New Roman"/>
                <w:sz w:val="24"/>
                <w:szCs w:val="24"/>
              </w:rPr>
              <w:t>ralaciones</w:t>
            </w:r>
            <w:proofErr w:type="spellEnd"/>
            <w:r w:rsidRPr="00A8259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públicas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32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Transportes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RPr="000E5E5C" w:rsidTr="00CB58FD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3254A7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Arrendamientos y cánones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0E5E5C" w:rsidRDefault="003254A7" w:rsidP="00695D92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="004411E0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4411E0" w:rsidTr="00CB58FD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Pr="00A82598" w:rsidRDefault="00CB58FD" w:rsidP="00695D92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Prestación de servicios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4411E0" w:rsidRDefault="00CB58FD" w:rsidP="00695D92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700.000   </w:t>
            </w:r>
            <w:r w:rsidR="004411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</w:tbl>
    <w:p w:rsidR="004411E0" w:rsidRDefault="004411E0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p w:rsidR="0071652F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4"/>
        <w:gridCol w:w="2268"/>
      </w:tblGrid>
      <w:tr w:rsidR="0071652F" w:rsidRPr="007457FF" w:rsidTr="000E5717">
        <w:trPr>
          <w:trHeight w:hRule="exact" w:val="4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71652F" w:rsidRPr="007457FF" w:rsidRDefault="0071652F" w:rsidP="00695D92">
            <w:pPr>
              <w:widowControl w:val="0"/>
              <w:spacing w:before="43" w:after="0" w:line="240" w:lineRule="auto"/>
              <w:ind w:left="132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4"/>
                <w:sz w:val="24"/>
              </w:rPr>
              <w:t>CUENTA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8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DE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8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PÉRDIDAS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8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Y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pacing w:val="-39"/>
                <w:sz w:val="24"/>
              </w:rPr>
              <w:t xml:space="preserve"> </w:t>
            </w:r>
            <w:r w:rsidRPr="000E5717">
              <w:rPr>
                <w:rFonts w:ascii="Arial" w:eastAsia="Calibri" w:hAnsi="Arial" w:cs="Times New Roman"/>
                <w:b/>
                <w:color w:val="548DD4" w:themeColor="text2" w:themeTint="99"/>
                <w:sz w:val="24"/>
              </w:rPr>
              <w:t>GANANCIAS</w:t>
            </w:r>
            <w:bookmarkEnd w:id="0"/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1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1. Ingresos de</w:t>
            </w:r>
            <w:r w:rsidRPr="007457FF">
              <w:rPr>
                <w:rFonts w:ascii="Arial" w:eastAsia="Calibri" w:hAnsi="Arial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572A8" w:rsidP="00695D92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700</w:t>
            </w:r>
            <w:r w:rsidR="0071652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71652F" w:rsidRPr="00DF22DB" w:rsidTr="00EA7C08">
        <w:trPr>
          <w:trHeight w:hRule="exact" w:val="51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A82598" w:rsidRDefault="0071652F" w:rsidP="00695D92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7457FF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ab/>
            </w:r>
            <w:r w:rsidRPr="00A82598">
              <w:rPr>
                <w:rFonts w:ascii="Comic Sans MS" w:eastAsia="Microsoft Sans Serif" w:hAnsi="Comic Sans MS" w:cs="Microsoft Sans Serif"/>
                <w:spacing w:val="-3"/>
                <w:sz w:val="24"/>
                <w:szCs w:val="24"/>
                <w:lang w:val="en-US"/>
              </w:rPr>
              <w:t>Prestación de servicios</w:t>
            </w:r>
          </w:p>
          <w:p w:rsidR="0071652F" w:rsidRPr="007457FF" w:rsidRDefault="0071652F" w:rsidP="00380C75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700</w:t>
            </w:r>
            <w:r w:rsidRPr="007457FF"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.000</w:t>
            </w:r>
          </w:p>
          <w:p w:rsidR="0071652F" w:rsidRDefault="0071652F" w:rsidP="00695D92">
            <w:pPr>
              <w:tabs>
                <w:tab w:val="left" w:pos="990"/>
                <w:tab w:val="left" w:pos="1170"/>
              </w:tabs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  <w:r w:rsidR="00380C75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  <w:p w:rsidR="0071652F" w:rsidRPr="00DF22DB" w:rsidRDefault="00380C75" w:rsidP="00695D92">
            <w:pPr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</w:tc>
      </w:tr>
      <w:tr w:rsidR="0071652F" w:rsidRPr="007457FF" w:rsidTr="00EA7C08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2.</w:t>
            </w:r>
            <w:r w:rsidRPr="007457FF">
              <w:rPr>
                <w:rFonts w:ascii="Arial" w:eastAsia="Calibri" w:hAnsi="Arial" w:cs="Times New Roman"/>
                <w:b/>
                <w:spacing w:val="-18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Gastos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de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332180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59.200</w:t>
            </w:r>
          </w:p>
        </w:tc>
      </w:tr>
      <w:tr w:rsidR="0071652F" w:rsidRPr="007457FF" w:rsidTr="00EA7C08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A82598" w:rsidRDefault="0071652F" w:rsidP="00695D92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/>
              </w:rPr>
              <w:t>–</w:t>
            </w:r>
            <w:r w:rsidRPr="00A82598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/>
              </w:rPr>
              <w:tab/>
            </w:r>
            <w:r w:rsidR="007572A8" w:rsidRPr="00A82598">
              <w:rPr>
                <w:rFonts w:ascii="Comic Sans MS" w:eastAsia="Microsoft Sans Serif" w:hAnsi="Comic Sans MS" w:cs="Microsoft Sans Serif"/>
                <w:w w:val="110"/>
                <w:sz w:val="24"/>
                <w:szCs w:val="24"/>
                <w:lang w:val="en-US"/>
              </w:rPr>
              <w:t>Arrendamientos y cánones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572A8" w:rsidP="00695D92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26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7457FF" w:rsidTr="00EA7C08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A82598" w:rsidRDefault="0071652F" w:rsidP="00695D92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>–</w:t>
            </w:r>
            <w:r w:rsidRPr="00A82598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ab/>
            </w:r>
            <w:r w:rsidR="007572A8" w:rsidRPr="00A82598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>Transportes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7572A8" w:rsidP="00695D92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14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A82598" w:rsidRDefault="0071652F" w:rsidP="00695D92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  <w:r w:rsidRPr="00A82598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</w:rPr>
              <w:t>–</w:t>
            </w:r>
            <w:r w:rsidRPr="00A82598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</w:rPr>
              <w:tab/>
            </w:r>
            <w:r w:rsidR="00EA5C55" w:rsidRPr="00A82598">
              <w:rPr>
                <w:rFonts w:ascii="Comic Sans MS" w:eastAsia="Microsoft Sans Serif" w:hAnsi="Comic Sans MS" w:cs="Microsoft Sans Serif"/>
                <w:spacing w:val="-1"/>
                <w:sz w:val="24"/>
                <w:szCs w:val="24"/>
              </w:rPr>
              <w:t>Publicidad, propaganda y relaciones públicas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652F" w:rsidRPr="007457FF" w:rsidRDefault="00EA5C55" w:rsidP="00695D92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4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1652F" w:rsidRPr="007457FF" w:rsidTr="00EA7C08">
        <w:trPr>
          <w:trHeight w:hRule="exact" w:val="152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A82598" w:rsidRDefault="0071652F" w:rsidP="00695D92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>–</w:t>
            </w:r>
            <w:r w:rsidRPr="00A82598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ab/>
            </w:r>
            <w:r w:rsidR="008F7501" w:rsidRPr="00A82598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>Amortización de inmovilizado intangible</w:t>
            </w:r>
          </w:p>
          <w:p w:rsidR="00EA7C08" w:rsidRPr="00A82598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 xml:space="preserve"> Trabajos realizados para otras empresas</w:t>
            </w:r>
          </w:p>
          <w:p w:rsidR="00EA7C08" w:rsidRPr="00A82598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>Otros gastos sociales</w:t>
            </w:r>
          </w:p>
          <w:p w:rsidR="00EA7C08" w:rsidRPr="00A82598" w:rsidRDefault="00EA7C08" w:rsidP="00EA7C08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A82598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>Servicios bancarios y similares</w:t>
            </w:r>
          </w:p>
          <w:p w:rsidR="00EA7C08" w:rsidRPr="00A82598" w:rsidRDefault="00EA7C08" w:rsidP="00EA7C08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</w:p>
          <w:p w:rsidR="0071652F" w:rsidRPr="00A82598" w:rsidRDefault="0071652F" w:rsidP="00695D92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EA7C08" w:rsidP="00695D92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7.0</w:t>
            </w:r>
            <w:r w:rsidR="0071652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00</w:t>
            </w:r>
          </w:p>
          <w:p w:rsidR="0071652F" w:rsidRPr="007457FF" w:rsidRDefault="0071652F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</w:p>
          <w:p w:rsidR="0071652F" w:rsidRDefault="0071652F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lang w:val="en-US"/>
              </w:rPr>
            </w:pPr>
            <w:r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</w:t>
            </w:r>
            <w:r w:rsidR="00EA7C08"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</w:t>
            </w:r>
            <w:r w:rsid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   </w:t>
            </w:r>
            <w:r w:rsidR="00EA7C08"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</w:t>
            </w:r>
            <w:r w:rsidRPr="00EA7C08"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</w:t>
            </w:r>
            <w:r w:rsidR="00EA7C08" w:rsidRPr="00EA7C08">
              <w:rPr>
                <w:rFonts w:ascii="Microsoft Sans Serif" w:eastAsia="Microsoft Sans Serif" w:hAnsi="Microsoft Sans Serif" w:cs="Microsoft Sans Serif"/>
                <w:lang w:val="en-US"/>
              </w:rPr>
              <w:t>4.000</w:t>
            </w:r>
          </w:p>
          <w:p w:rsidR="00EA7C08" w:rsidRDefault="00EA7C08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                  3.000</w:t>
            </w:r>
          </w:p>
          <w:p w:rsidR="00EA7C08" w:rsidRPr="00EA7C08" w:rsidRDefault="00EA7C08" w:rsidP="00695D92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lang w:val="en-US"/>
              </w:rPr>
              <w:t xml:space="preserve">                         1.200</w:t>
            </w:r>
          </w:p>
        </w:tc>
      </w:tr>
      <w:tr w:rsidR="00A20C7E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20C7E" w:rsidRPr="007457FF" w:rsidRDefault="00A20C7E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3.EXCESO DE PROVISIONES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20C7E" w:rsidRDefault="00A20C7E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25.000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EXPLOTACIÓN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(BAII)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2</w:t>
            </w:r>
            <w:r w:rsidR="00A20C7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+3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A20C7E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665.000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A82598">
              <w:rPr>
                <w:rFonts w:ascii="Arial" w:eastAsia="Calibri" w:hAnsi="Calibri" w:cs="Times New Roman"/>
                <w:b/>
                <w:sz w:val="24"/>
                <w:szCs w:val="24"/>
              </w:rPr>
              <w:t>4</w:t>
            </w:r>
            <w:r w:rsidR="0071652F" w:rsidRPr="00A82598">
              <w:rPr>
                <w:rFonts w:ascii="Arial" w:eastAsia="Calibri" w:hAnsi="Calibri" w:cs="Times New Roman"/>
                <w:b/>
                <w:sz w:val="24"/>
                <w:szCs w:val="24"/>
              </w:rPr>
              <w:t>.</w:t>
            </w:r>
            <w:r w:rsidR="0071652F" w:rsidRPr="00A82598">
              <w:rPr>
                <w:rFonts w:ascii="Arial" w:eastAsia="Calibri" w:hAnsi="Calibri" w:cs="Times New Roman"/>
                <w:b/>
                <w:spacing w:val="-30"/>
                <w:sz w:val="24"/>
                <w:szCs w:val="24"/>
              </w:rPr>
              <w:t xml:space="preserve"> </w:t>
            </w:r>
            <w:r w:rsidR="006E4F29" w:rsidRPr="00A82598">
              <w:rPr>
                <w:rFonts w:ascii="Arial" w:eastAsia="Calibri" w:hAnsi="Calibri" w:cs="Times New Roman"/>
                <w:b/>
                <w:sz w:val="24"/>
                <w:szCs w:val="24"/>
              </w:rPr>
              <w:t xml:space="preserve"> VARIACI</w:t>
            </w:r>
            <w:r w:rsidR="006E4F29" w:rsidRPr="00A82598">
              <w:rPr>
                <w:rFonts w:ascii="Arial" w:eastAsia="Calibri" w:hAnsi="Calibri" w:cs="Times New Roman"/>
                <w:b/>
                <w:sz w:val="24"/>
                <w:szCs w:val="24"/>
              </w:rPr>
              <w:t>Ó</w:t>
            </w:r>
            <w:r w:rsidR="006E4F29" w:rsidRPr="00A82598">
              <w:rPr>
                <w:rFonts w:ascii="Arial" w:eastAsia="Calibri" w:hAnsi="Calibri" w:cs="Times New Roman"/>
                <w:b/>
                <w:sz w:val="24"/>
                <w:szCs w:val="24"/>
              </w:rPr>
              <w:t xml:space="preserve">N DE VALOR RAZONA. INST. </w:t>
            </w:r>
            <w:r w:rsidR="006E4F29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FINANC.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6E4F29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2.5</w:t>
            </w:r>
            <w:r w:rsidR="0071652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1652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6E4F29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 DIFERENCIAL DEL CAMBIO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Default="0071652F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2.000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B.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FINANCIERO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="00B516C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4+5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A095B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4.5</w:t>
            </w:r>
            <w:r w:rsidR="0071652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C.</w:t>
            </w:r>
            <w:r w:rsidRPr="007457FF">
              <w:rPr>
                <w:rFonts w:ascii="Arial" w:eastAsia="Calibri" w:hAnsi="Calibri" w:cs="Times New Roman"/>
                <w:b/>
                <w:i/>
                <w:spacing w:val="-40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BRUTO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(BAI)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A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+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669.500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A82598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Impuesto sobre</w:t>
            </w:r>
            <w:r w:rsidR="000E5717" w:rsidRPr="00A82598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82598">
              <w:rPr>
                <w:rFonts w:ascii="Comic Sans MS" w:eastAsia="Calibri" w:hAnsi="Comic Sans MS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r w:rsidRPr="00A82598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beneficios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695D92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200.850</w:t>
            </w:r>
          </w:p>
        </w:tc>
      </w:tr>
      <w:tr w:rsidR="0071652F" w:rsidRPr="007457FF" w:rsidTr="00EA7C0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71652F" w:rsidP="00695D92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DEL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EJERCICIO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(BN)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1652F" w:rsidRPr="007457FF" w:rsidRDefault="00B516C0" w:rsidP="00B516C0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468.650</w:t>
            </w:r>
          </w:p>
        </w:tc>
      </w:tr>
    </w:tbl>
    <w:p w:rsidR="0071652F" w:rsidRPr="004411E0" w:rsidRDefault="0071652F" w:rsidP="004411E0">
      <w:pPr>
        <w:rPr>
          <w:rFonts w:ascii="Algerian" w:hAnsi="Algerian"/>
          <w:b/>
          <w:sz w:val="24"/>
          <w:szCs w:val="24"/>
          <w:u w:val="single"/>
        </w:rPr>
      </w:pPr>
    </w:p>
    <w:sectPr w:rsidR="0071652F" w:rsidRPr="004411E0" w:rsidSect="00707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0F7"/>
    <w:multiLevelType w:val="hybridMultilevel"/>
    <w:tmpl w:val="3766B3F2"/>
    <w:lvl w:ilvl="0" w:tplc="8A7426F0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42FE"/>
    <w:rsid w:val="000E5717"/>
    <w:rsid w:val="003254A7"/>
    <w:rsid w:val="00332180"/>
    <w:rsid w:val="00380C75"/>
    <w:rsid w:val="004411E0"/>
    <w:rsid w:val="005600BB"/>
    <w:rsid w:val="006E4F29"/>
    <w:rsid w:val="00704D11"/>
    <w:rsid w:val="00707710"/>
    <w:rsid w:val="0071652F"/>
    <w:rsid w:val="007572A8"/>
    <w:rsid w:val="008078FB"/>
    <w:rsid w:val="0086594E"/>
    <w:rsid w:val="008F7501"/>
    <w:rsid w:val="00A20C7E"/>
    <w:rsid w:val="00A82598"/>
    <w:rsid w:val="00B516C0"/>
    <w:rsid w:val="00BA095B"/>
    <w:rsid w:val="00C8451E"/>
    <w:rsid w:val="00CB58FD"/>
    <w:rsid w:val="00E342FE"/>
    <w:rsid w:val="00EA5C55"/>
    <w:rsid w:val="00EA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2016-01-15T15:15:00Z</dcterms:created>
  <dcterms:modified xsi:type="dcterms:W3CDTF">2016-01-15T15:15:00Z</dcterms:modified>
</cp:coreProperties>
</file>