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D3" w:rsidRPr="0033174B" w:rsidRDefault="00EE7AD3" w:rsidP="00EE7AD3">
      <w:pPr>
        <w:pStyle w:val="Ttulo"/>
        <w:jc w:val="center"/>
        <w:rPr>
          <w:rFonts w:ascii="Comic Sans MS" w:hAnsi="Comic Sans MS" w:cs="Arial"/>
          <w:b/>
          <w:color w:val="FF0000"/>
          <w:spacing w:val="0"/>
        </w:rPr>
      </w:pPr>
      <w:r w:rsidRPr="0033174B">
        <w:rPr>
          <w:rFonts w:ascii="Comic Sans MS" w:hAnsi="Comic Sans MS" w:cs="Arial"/>
          <w:b/>
          <w:color w:val="FF0000"/>
          <w:spacing w:val="0"/>
        </w:rPr>
        <w:t>CONCEPTOS DE AUDITORIA: EVID</w:t>
      </w:r>
      <w:bookmarkStart w:id="0" w:name="_GoBack"/>
      <w:bookmarkEnd w:id="0"/>
      <w:r w:rsidRPr="0033174B">
        <w:rPr>
          <w:rFonts w:ascii="Comic Sans MS" w:hAnsi="Comic Sans MS" w:cs="Arial"/>
          <w:b/>
          <w:color w:val="FF0000"/>
          <w:spacing w:val="0"/>
        </w:rPr>
        <w:t>ENCIA</w:t>
      </w:r>
    </w:p>
    <w:p w:rsidR="00EE7AD3" w:rsidRPr="00EE7AD3" w:rsidRDefault="00EE7AD3" w:rsidP="00EE7AD3">
      <w:pPr>
        <w:rPr>
          <w:sz w:val="8"/>
        </w:rPr>
      </w:pPr>
    </w:p>
    <w:p w:rsidR="00EE7AD3" w:rsidRPr="0033174B" w:rsidRDefault="00EE7AD3" w:rsidP="00EE7AD3">
      <w:pPr>
        <w:jc w:val="both"/>
        <w:rPr>
          <w:rFonts w:ascii="Verdana" w:hAnsi="Verdana" w:cs="Arial"/>
          <w:b/>
        </w:rPr>
      </w:pPr>
      <w:r w:rsidRPr="0033174B">
        <w:rPr>
          <w:rFonts w:ascii="Verdana" w:hAnsi="Verdana" w:cs="Arial"/>
          <w:b/>
        </w:rPr>
        <w:t>Información utilizada por el auditor para alcanzar las conclusiones en las que basa su opinión. La evidencia de auditoría incluye tanto la información contenida en los registros contables de los que se obtienen los estados financieros, como otra información.</w:t>
      </w:r>
    </w:p>
    <w:p w:rsidR="00EE7AD3" w:rsidRDefault="00EE7AD3" w:rsidP="00EE7AD3">
      <w:pPr>
        <w:jc w:val="both"/>
        <w:rPr>
          <w:rFonts w:ascii="Verdana" w:hAnsi="Verdana" w:cs="Arial"/>
        </w:rPr>
      </w:pPr>
    </w:p>
    <w:p w:rsidR="00EE7AD3" w:rsidRPr="0033174B" w:rsidRDefault="00EE7AD3" w:rsidP="00EE7AD3">
      <w:pPr>
        <w:pStyle w:val="Citadestacada"/>
        <w:rPr>
          <w:rFonts w:ascii="Comic Sans MS" w:hAnsi="Comic Sans MS"/>
          <w:color w:val="FF0000"/>
          <w:sz w:val="26"/>
          <w:szCs w:val="26"/>
        </w:rPr>
      </w:pPr>
      <w:r w:rsidRPr="0033174B">
        <w:rPr>
          <w:rFonts w:ascii="Comic Sans MS" w:hAnsi="Comic Sans MS"/>
          <w:color w:val="FF0000"/>
          <w:sz w:val="26"/>
          <w:szCs w:val="26"/>
        </w:rPr>
        <w:t xml:space="preserve">Clasificación </w:t>
      </w:r>
    </w:p>
    <w:p w:rsidR="00EE7AD3" w:rsidRDefault="00EE7AD3" w:rsidP="00EE7AD3">
      <w:pPr>
        <w:jc w:val="both"/>
        <w:rPr>
          <w:rFonts w:ascii="Verdana" w:hAnsi="Verdana" w:cs="Arial"/>
        </w:rPr>
      </w:pPr>
      <w:r w:rsidRPr="00EE7AD3">
        <w:rPr>
          <w:rFonts w:ascii="Verdana" w:hAnsi="Verdana" w:cs="Arial"/>
        </w:rPr>
        <w:t>La evidencia de auditoría es necesaria para corroborar o contradecir las afirmaciones que contiene los estados financieros y proporcionar así al auditor una base para expresar su opinión, se obtiene diseñando y aplicando pruebas de auditoría.</w:t>
      </w:r>
      <w:r>
        <w:rPr>
          <w:rFonts w:ascii="Verdana" w:hAnsi="Verdana" w:cs="Arial"/>
        </w:rPr>
        <w:t xml:space="preserve"> La clasificación es la siguiente: </w:t>
      </w:r>
    </w:p>
    <w:p w:rsidR="00EE7AD3" w:rsidRDefault="00EE7AD3" w:rsidP="00EE7AD3">
      <w:pPr>
        <w:jc w:val="both"/>
        <w:rPr>
          <w:b/>
          <w:color w:val="00B050"/>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Examen Físico:</w:t>
      </w:r>
      <w:r w:rsidRPr="00073AC6">
        <w:rPr>
          <w:rFonts w:ascii="Verdana" w:hAnsi="Verdana" w:cs="Arial"/>
        </w:rPr>
        <w:t xml:space="preserve"> es la inspección o conteo que hace el auditor de un activo tangible. El examen físico, es un medio directo para verificar que en realidad existe un activo, se considera como uno de los tipos más confiables y útiles de evidencias de auditoría. Ejemplo: inventarios, arqueo de dinero, arqueo de documentos. </w:t>
      </w:r>
    </w:p>
    <w:p w:rsidR="00073AC6" w:rsidRPr="00073AC6" w:rsidRDefault="00073AC6" w:rsidP="00073AC6">
      <w:pPr>
        <w:pStyle w:val="Prrafodelista"/>
        <w:spacing w:line="240" w:lineRule="atLeast"/>
        <w:jc w:val="both"/>
        <w:rPr>
          <w:rFonts w:ascii="Verdana" w:hAnsi="Verdana" w:cs="Arial"/>
          <w:sz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Confirmación:</w:t>
      </w:r>
      <w:r w:rsidRPr="00073AC6">
        <w:rPr>
          <w:rFonts w:ascii="Verdana" w:hAnsi="Verdana" w:cs="Arial"/>
        </w:rPr>
        <w:t xml:space="preserve"> es la recepción de una respuesta oral o escrita de una tercera parte, independiente, que verifica la precisión de la información que ha solicitado el auditor. Ejemplo: confirmación bancaria, confirmación de abog</w:t>
      </w:r>
      <w:r w:rsidR="00073AC6">
        <w:rPr>
          <w:rFonts w:ascii="Verdana" w:hAnsi="Verdana" w:cs="Arial"/>
        </w:rPr>
        <w:t>ados, confirmación de clientes.</w:t>
      </w:r>
    </w:p>
    <w:p w:rsidR="00073AC6" w:rsidRPr="00073AC6" w:rsidRDefault="00073AC6" w:rsidP="00073AC6">
      <w:pPr>
        <w:pStyle w:val="Prrafodelista"/>
        <w:spacing w:line="240" w:lineRule="atLeast"/>
        <w:jc w:val="both"/>
        <w:rPr>
          <w:rFonts w:ascii="Verdana" w:hAnsi="Verdana" w:cs="Arial"/>
          <w:b/>
          <w:sz w:val="2"/>
          <w:szCs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Documentación</w:t>
      </w:r>
      <w:r w:rsidRPr="00073AC6">
        <w:rPr>
          <w:rFonts w:ascii="Verdana" w:hAnsi="Verdana" w:cs="Arial"/>
        </w:rPr>
        <w:t xml:space="preserve">: es el examen que hace el auditor de los documentos y archivos del cliente para apoyar la información que es o debe ser incluida en los estados financieros. Ejemplo: facturas, contratos, escrituras. </w:t>
      </w:r>
    </w:p>
    <w:p w:rsidR="00073AC6" w:rsidRPr="00073AC6" w:rsidRDefault="00073AC6" w:rsidP="00073AC6">
      <w:pPr>
        <w:pStyle w:val="Prrafodelista"/>
        <w:spacing w:line="240" w:lineRule="atLeast"/>
        <w:rPr>
          <w:rFonts w:ascii="Verdana" w:hAnsi="Verdana" w:cs="Arial"/>
          <w:b/>
          <w:sz w:val="2"/>
          <w:szCs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Observación:</w:t>
      </w:r>
      <w:r w:rsidRPr="00073AC6">
        <w:rPr>
          <w:rFonts w:ascii="Verdana" w:hAnsi="Verdana" w:cs="Arial"/>
        </w:rPr>
        <w:t xml:space="preserve"> es el uso de los sentidos para evaluar ciertas actividades. Es necesario hacer un seguimien</w:t>
      </w:r>
      <w:r w:rsidR="00073AC6">
        <w:rPr>
          <w:rFonts w:ascii="Verdana" w:hAnsi="Verdana" w:cs="Arial"/>
        </w:rPr>
        <w:t>to de las impresiones iniciales.</w:t>
      </w:r>
    </w:p>
    <w:p w:rsidR="00073AC6" w:rsidRPr="00073AC6" w:rsidRDefault="00073AC6" w:rsidP="00073AC6">
      <w:pPr>
        <w:pStyle w:val="Prrafodelista"/>
        <w:spacing w:line="240" w:lineRule="atLeast"/>
        <w:rPr>
          <w:rFonts w:ascii="Verdana" w:hAnsi="Verdana" w:cs="Arial"/>
          <w:b/>
          <w:sz w:val="2"/>
          <w:szCs w:val="2"/>
        </w:rPr>
      </w:pPr>
    </w:p>
    <w:p w:rsidR="00073AC6" w:rsidRDefault="00EE7AD3" w:rsidP="00073AC6">
      <w:pPr>
        <w:pStyle w:val="Prrafodelista"/>
        <w:numPr>
          <w:ilvl w:val="0"/>
          <w:numId w:val="2"/>
        </w:numPr>
        <w:spacing w:line="240" w:lineRule="atLeast"/>
        <w:jc w:val="both"/>
        <w:rPr>
          <w:rFonts w:ascii="Verdana" w:hAnsi="Verdana" w:cs="Arial"/>
        </w:rPr>
      </w:pPr>
      <w:r w:rsidRPr="00073AC6">
        <w:rPr>
          <w:rFonts w:ascii="Verdana" w:hAnsi="Verdana" w:cs="Arial"/>
          <w:b/>
        </w:rPr>
        <w:t>Consulta:</w:t>
      </w:r>
      <w:r w:rsidRPr="00073AC6">
        <w:rPr>
          <w:rFonts w:ascii="Verdana" w:hAnsi="Verdana" w:cs="Arial"/>
        </w:rPr>
        <w:t xml:space="preserve"> es obtener información escrita o verbal del cliente en respuesta a algunas preguntas del auditor. Por lo general no puede considerarse como concluyente. Ejemplo: entrevistas. </w:t>
      </w:r>
    </w:p>
    <w:p w:rsidR="00073AC6" w:rsidRPr="00073AC6" w:rsidRDefault="00073AC6" w:rsidP="00073AC6">
      <w:pPr>
        <w:pStyle w:val="Prrafodelista"/>
        <w:spacing w:line="240" w:lineRule="atLeast"/>
        <w:rPr>
          <w:rFonts w:ascii="Verdana" w:hAnsi="Verdana" w:cs="Arial"/>
          <w:b/>
          <w:sz w:val="2"/>
          <w:szCs w:val="2"/>
        </w:rPr>
      </w:pPr>
    </w:p>
    <w:p w:rsidR="00073AC6" w:rsidRDefault="00EE7AD3" w:rsidP="00EE7AD3">
      <w:pPr>
        <w:pStyle w:val="Prrafodelista"/>
        <w:numPr>
          <w:ilvl w:val="0"/>
          <w:numId w:val="2"/>
        </w:numPr>
        <w:spacing w:line="240" w:lineRule="atLeast"/>
        <w:jc w:val="both"/>
        <w:rPr>
          <w:rFonts w:ascii="Verdana" w:hAnsi="Verdana" w:cs="Arial"/>
        </w:rPr>
      </w:pPr>
      <w:r w:rsidRPr="00073AC6">
        <w:rPr>
          <w:rFonts w:ascii="Verdana" w:hAnsi="Verdana" w:cs="Arial"/>
          <w:b/>
        </w:rPr>
        <w:t>Desempeño:</w:t>
      </w:r>
      <w:r w:rsidRPr="00073AC6">
        <w:rPr>
          <w:rFonts w:ascii="Verdana" w:hAnsi="Verdana" w:cs="Arial"/>
        </w:rPr>
        <w:t xml:space="preserve"> recalculo: como lo indica el término, implica verificar de nuevo una muestra de los cálculos y transferencia de información que hace el cliente durante el período que se está</w:t>
      </w:r>
      <w:r w:rsidR="00073AC6">
        <w:rPr>
          <w:rFonts w:ascii="Verdana" w:hAnsi="Verdana" w:cs="Arial"/>
        </w:rPr>
        <w:t xml:space="preserve"> auditando.</w:t>
      </w:r>
    </w:p>
    <w:p w:rsidR="00073AC6" w:rsidRPr="00073AC6" w:rsidRDefault="00073AC6" w:rsidP="00073AC6">
      <w:pPr>
        <w:pStyle w:val="Prrafodelista"/>
        <w:rPr>
          <w:rFonts w:ascii="Verdana" w:hAnsi="Verdana" w:cs="Arial"/>
          <w:b/>
          <w:sz w:val="14"/>
          <w:szCs w:val="14"/>
        </w:rPr>
      </w:pPr>
    </w:p>
    <w:p w:rsidR="00EE7AD3" w:rsidRPr="00073AC6" w:rsidRDefault="00EE7AD3" w:rsidP="00EE7AD3">
      <w:pPr>
        <w:pStyle w:val="Prrafodelista"/>
        <w:numPr>
          <w:ilvl w:val="0"/>
          <w:numId w:val="2"/>
        </w:numPr>
        <w:spacing w:line="240" w:lineRule="atLeast"/>
        <w:jc w:val="both"/>
        <w:rPr>
          <w:rFonts w:ascii="Verdana" w:hAnsi="Verdana" w:cs="Arial"/>
        </w:rPr>
      </w:pPr>
      <w:r w:rsidRPr="00073AC6">
        <w:rPr>
          <w:rFonts w:ascii="Verdana" w:hAnsi="Verdana" w:cs="Arial"/>
          <w:b/>
        </w:rPr>
        <w:t>Procedimientos analíticos:</w:t>
      </w:r>
      <w:r w:rsidRPr="00073AC6">
        <w:rPr>
          <w:rFonts w:ascii="Verdana" w:hAnsi="Verdana" w:cs="Arial"/>
        </w:rPr>
        <w:t xml:space="preserve"> se utilizan comparaciones y relaciones para determinar si los saldos de las cuentas u otros datos son razonables. Ejemplo: comparar los márgenes</w:t>
      </w:r>
    </w:p>
    <w:p w:rsidR="00EE7AD3" w:rsidRPr="00EE7AD3" w:rsidRDefault="00EE7AD3" w:rsidP="00EE7AD3">
      <w:pPr>
        <w:jc w:val="both"/>
        <w:rPr>
          <w:rFonts w:ascii="Verdana" w:hAnsi="Verdana" w:cs="Arial"/>
        </w:rPr>
      </w:pPr>
    </w:p>
    <w:p w:rsidR="00EE7AD3" w:rsidRPr="00EE7AD3" w:rsidRDefault="00EE7AD3" w:rsidP="00EE7AD3">
      <w:pPr>
        <w:rPr>
          <w:rFonts w:ascii="Verdana" w:hAnsi="Verdana" w:cs="Arial"/>
        </w:rPr>
      </w:pPr>
    </w:p>
    <w:p w:rsidR="00EE7AD3" w:rsidRPr="0033174B" w:rsidRDefault="00073AC6" w:rsidP="00073AC6">
      <w:pPr>
        <w:pStyle w:val="Citadestacada"/>
        <w:rPr>
          <w:rFonts w:ascii="Comic Sans MS" w:hAnsi="Comic Sans MS"/>
          <w:color w:val="FF0000"/>
          <w:sz w:val="26"/>
          <w:szCs w:val="26"/>
        </w:rPr>
      </w:pPr>
      <w:r w:rsidRPr="0033174B">
        <w:rPr>
          <w:rFonts w:ascii="Comic Sans MS" w:hAnsi="Comic Sans MS"/>
          <w:color w:val="FF0000"/>
          <w:sz w:val="26"/>
          <w:szCs w:val="26"/>
        </w:rPr>
        <w:t>Métodos de obtención</w:t>
      </w:r>
    </w:p>
    <w:p w:rsidR="00073AC6" w:rsidRDefault="00073AC6" w:rsidP="00073AC6">
      <w:pPr>
        <w:pStyle w:val="Prrafodelista"/>
        <w:numPr>
          <w:ilvl w:val="0"/>
          <w:numId w:val="3"/>
        </w:numPr>
        <w:jc w:val="both"/>
        <w:rPr>
          <w:rFonts w:ascii="Verdana" w:hAnsi="Verdana" w:cs="Arial"/>
        </w:rPr>
      </w:pPr>
      <w:r w:rsidRPr="00073AC6">
        <w:rPr>
          <w:rFonts w:ascii="Verdana" w:hAnsi="Verdana" w:cs="Arial"/>
          <w:b/>
        </w:rPr>
        <w:t>Pruebas sustantivas analíticas</w:t>
      </w:r>
      <w:r w:rsidRPr="00073AC6">
        <w:rPr>
          <w:rFonts w:ascii="Verdana" w:hAnsi="Verdana" w:cs="Arial"/>
        </w:rPr>
        <w:t xml:space="preserve">: implican comparaciones de montos registrados en los saldos con las expectativas que desarrolla el auditor. </w:t>
      </w:r>
    </w:p>
    <w:p w:rsidR="00073AC6" w:rsidRPr="00073AC6" w:rsidRDefault="00073AC6" w:rsidP="00073AC6">
      <w:pPr>
        <w:pStyle w:val="Prrafodelista"/>
        <w:ind w:left="435"/>
        <w:jc w:val="both"/>
        <w:rPr>
          <w:rFonts w:ascii="Verdana" w:hAnsi="Verdana" w:cs="Arial"/>
          <w:sz w:val="6"/>
        </w:rPr>
      </w:pPr>
    </w:p>
    <w:p w:rsidR="00073AC6" w:rsidRPr="00073AC6" w:rsidRDefault="00073AC6" w:rsidP="00073AC6">
      <w:pPr>
        <w:pStyle w:val="Prrafodelista"/>
        <w:numPr>
          <w:ilvl w:val="0"/>
          <w:numId w:val="3"/>
        </w:numPr>
        <w:jc w:val="both"/>
        <w:rPr>
          <w:rFonts w:ascii="Verdana" w:hAnsi="Verdana" w:cs="Arial"/>
        </w:rPr>
      </w:pPr>
      <w:r w:rsidRPr="00073AC6">
        <w:rPr>
          <w:rFonts w:ascii="Verdana" w:hAnsi="Verdana" w:cs="Arial"/>
          <w:b/>
        </w:rPr>
        <w:t>Pruebas sustantivas de detalle de saldos:</w:t>
      </w:r>
      <w:r w:rsidRPr="00073AC6">
        <w:rPr>
          <w:rFonts w:ascii="Verdana" w:hAnsi="Verdana" w:cs="Arial"/>
        </w:rPr>
        <w:t xml:space="preserve"> se concentran en los saldos finales del mayor</w:t>
      </w:r>
    </w:p>
    <w:p w:rsidR="00073AC6" w:rsidRPr="00073AC6" w:rsidRDefault="00073AC6" w:rsidP="00073AC6">
      <w:pPr>
        <w:rPr>
          <w:rFonts w:ascii="Verdana" w:hAnsi="Verdana" w:cs="Arial"/>
        </w:rPr>
      </w:pPr>
    </w:p>
    <w:sectPr w:rsidR="00073AC6" w:rsidRPr="00073AC6" w:rsidSect="00CA721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E33" w:rsidRDefault="00D03E33" w:rsidP="00EE7AD3">
      <w:pPr>
        <w:spacing w:line="240" w:lineRule="auto"/>
      </w:pPr>
      <w:r>
        <w:separator/>
      </w:r>
    </w:p>
  </w:endnote>
  <w:endnote w:type="continuationSeparator" w:id="0">
    <w:p w:rsidR="00D03E33" w:rsidRDefault="00D03E33" w:rsidP="00EE7A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97100"/>
      <w:docPartObj>
        <w:docPartGallery w:val="Page Numbers (Bottom of Page)"/>
        <w:docPartUnique/>
      </w:docPartObj>
    </w:sdtPr>
    <w:sdtContent>
      <w:p w:rsidR="00480752" w:rsidRDefault="00CA7210">
        <w:pPr>
          <w:pStyle w:val="Piedepgina"/>
          <w:jc w:val="center"/>
        </w:pPr>
        <w:r>
          <w:fldChar w:fldCharType="begin"/>
        </w:r>
        <w:r w:rsidR="00480752">
          <w:instrText>PAGE   \* MERGEFORMAT</w:instrText>
        </w:r>
        <w:r>
          <w:fldChar w:fldCharType="separate"/>
        </w:r>
        <w:r w:rsidR="0033174B">
          <w:rPr>
            <w:noProof/>
          </w:rPr>
          <w:t>1</w:t>
        </w:r>
        <w:r>
          <w:fldChar w:fldCharType="end"/>
        </w:r>
      </w:p>
    </w:sdtContent>
  </w:sdt>
  <w:p w:rsidR="00480752" w:rsidRDefault="004807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E33" w:rsidRDefault="00D03E33" w:rsidP="00EE7AD3">
      <w:pPr>
        <w:spacing w:line="240" w:lineRule="auto"/>
      </w:pPr>
      <w:r>
        <w:separator/>
      </w:r>
    </w:p>
  </w:footnote>
  <w:footnote w:type="continuationSeparator" w:id="0">
    <w:p w:rsidR="00D03E33" w:rsidRDefault="00D03E33" w:rsidP="00EE7A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D3" w:rsidRDefault="002C52AE" w:rsidP="00EE7AD3">
    <w:pPr>
      <w:pStyle w:val="Encabezado"/>
      <w:jc w:val="right"/>
    </w:pPr>
    <w:r>
      <w:t>Raquel Rodríguez Gallego</w:t>
    </w:r>
    <w:r w:rsidR="00EE7AD3">
      <w:t xml:space="preserve"> 2AF</w:t>
    </w:r>
  </w:p>
  <w:p w:rsidR="00EE7AD3" w:rsidRDefault="00EE7AD3" w:rsidP="00EE7AD3">
    <w:pPr>
      <w:pStyle w:val="Encabezado"/>
      <w:jc w:val="right"/>
    </w:pPr>
    <w:r>
      <w:t>T. 12 - FISCALIDAD - Conceptos de Auditoría: Evidencia</w:t>
    </w:r>
  </w:p>
  <w:p w:rsidR="00EE7AD3" w:rsidRDefault="00EE7A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51C7"/>
      </v:shape>
    </w:pict>
  </w:numPicBullet>
  <w:abstractNum w:abstractNumId="0">
    <w:nsid w:val="09721CC7"/>
    <w:multiLevelType w:val="hybridMultilevel"/>
    <w:tmpl w:val="D8FE1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8111A"/>
    <w:multiLevelType w:val="hybridMultilevel"/>
    <w:tmpl w:val="81D8B01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A83832"/>
    <w:multiLevelType w:val="hybridMultilevel"/>
    <w:tmpl w:val="D3D88AA4"/>
    <w:lvl w:ilvl="0" w:tplc="C1BCF5D0">
      <w:start w:val="20"/>
      <w:numFmt w:val="bullet"/>
      <w:lvlText w:val="-"/>
      <w:lvlJc w:val="left"/>
      <w:pPr>
        <w:ind w:left="435" w:hanging="360"/>
      </w:pPr>
      <w:rPr>
        <w:rFonts w:ascii="Verdana" w:eastAsiaTheme="minorHAnsi" w:hAnsi="Verdana" w:cs="Arial"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2DB6"/>
    <w:rsid w:val="00073AC6"/>
    <w:rsid w:val="002C52AE"/>
    <w:rsid w:val="0033174B"/>
    <w:rsid w:val="00480752"/>
    <w:rsid w:val="0073275C"/>
    <w:rsid w:val="00810704"/>
    <w:rsid w:val="00CA7210"/>
    <w:rsid w:val="00D03E33"/>
    <w:rsid w:val="00EE7AD3"/>
    <w:rsid w:val="00FC2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10"/>
  </w:style>
  <w:style w:type="paragraph" w:styleId="Ttulo2">
    <w:name w:val="heading 2"/>
    <w:basedOn w:val="Normal"/>
    <w:next w:val="Normal"/>
    <w:link w:val="Ttulo2Car"/>
    <w:uiPriority w:val="9"/>
    <w:unhideWhenUsed/>
    <w:qFormat/>
    <w:rsid w:val="00EE7A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A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E7AD3"/>
  </w:style>
  <w:style w:type="paragraph" w:styleId="Piedepgina">
    <w:name w:val="footer"/>
    <w:basedOn w:val="Normal"/>
    <w:link w:val="PiedepginaCar"/>
    <w:uiPriority w:val="99"/>
    <w:unhideWhenUsed/>
    <w:rsid w:val="00EE7A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E7AD3"/>
  </w:style>
  <w:style w:type="paragraph" w:styleId="Textodeglobo">
    <w:name w:val="Balloon Text"/>
    <w:basedOn w:val="Normal"/>
    <w:link w:val="TextodegloboCar"/>
    <w:uiPriority w:val="99"/>
    <w:semiHidden/>
    <w:unhideWhenUsed/>
    <w:rsid w:val="00EE7A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AD3"/>
    <w:rPr>
      <w:rFonts w:ascii="Tahoma" w:hAnsi="Tahoma" w:cs="Tahoma"/>
      <w:sz w:val="16"/>
      <w:szCs w:val="16"/>
    </w:rPr>
  </w:style>
  <w:style w:type="paragraph" w:styleId="Ttulo">
    <w:name w:val="Title"/>
    <w:basedOn w:val="Normal"/>
    <w:next w:val="Normal"/>
    <w:link w:val="TtuloCar"/>
    <w:uiPriority w:val="10"/>
    <w:qFormat/>
    <w:rsid w:val="00EE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E7AD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EE7AD3"/>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EE7AD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E7AD3"/>
    <w:rPr>
      <w:b/>
      <w:bCs/>
      <w:i/>
      <w:iCs/>
      <w:color w:val="4F81BD" w:themeColor="accent1"/>
    </w:rPr>
  </w:style>
  <w:style w:type="paragraph" w:styleId="Prrafodelista">
    <w:name w:val="List Paragraph"/>
    <w:basedOn w:val="Normal"/>
    <w:uiPriority w:val="34"/>
    <w:qFormat/>
    <w:rsid w:val="00EE7AD3"/>
    <w:pPr>
      <w:spacing w:after="200" w:line="276" w:lineRule="auto"/>
      <w:ind w:left="720"/>
      <w:contextualSpacing/>
    </w:pPr>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E7A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A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E7AD3"/>
  </w:style>
  <w:style w:type="paragraph" w:styleId="Piedepgina">
    <w:name w:val="footer"/>
    <w:basedOn w:val="Normal"/>
    <w:link w:val="PiedepginaCar"/>
    <w:uiPriority w:val="99"/>
    <w:unhideWhenUsed/>
    <w:rsid w:val="00EE7A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E7AD3"/>
  </w:style>
  <w:style w:type="paragraph" w:styleId="Textodeglobo">
    <w:name w:val="Balloon Text"/>
    <w:basedOn w:val="Normal"/>
    <w:link w:val="TextodegloboCar"/>
    <w:uiPriority w:val="99"/>
    <w:semiHidden/>
    <w:unhideWhenUsed/>
    <w:rsid w:val="00EE7A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AD3"/>
    <w:rPr>
      <w:rFonts w:ascii="Tahoma" w:hAnsi="Tahoma" w:cs="Tahoma"/>
      <w:sz w:val="16"/>
      <w:szCs w:val="16"/>
    </w:rPr>
  </w:style>
  <w:style w:type="paragraph" w:styleId="Ttulo">
    <w:name w:val="Title"/>
    <w:basedOn w:val="Normal"/>
    <w:next w:val="Normal"/>
    <w:link w:val="TtuloCar"/>
    <w:uiPriority w:val="10"/>
    <w:qFormat/>
    <w:rsid w:val="00EE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E7AD3"/>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EE7AD3"/>
    <w:rPr>
      <w:rFonts w:asciiTheme="majorHAnsi" w:eastAsiaTheme="majorEastAsia" w:hAnsiTheme="majorHAnsi" w:cstheme="majorBidi"/>
      <w:b/>
      <w:bCs/>
      <w:color w:val="4F81BD" w:themeColor="accent1"/>
      <w:sz w:val="26"/>
      <w:szCs w:val="26"/>
    </w:rPr>
  </w:style>
  <w:style w:type="paragraph" w:styleId="Citadestacada">
    <w:name w:val="Intense Quote"/>
    <w:basedOn w:val="Normal"/>
    <w:next w:val="Normal"/>
    <w:link w:val="CitadestacadaCar"/>
    <w:uiPriority w:val="30"/>
    <w:qFormat/>
    <w:rsid w:val="00EE7AD3"/>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E7AD3"/>
    <w:rPr>
      <w:b/>
      <w:bCs/>
      <w:i/>
      <w:iCs/>
      <w:color w:val="4F81BD" w:themeColor="accent1"/>
    </w:rPr>
  </w:style>
  <w:style w:type="paragraph" w:styleId="Prrafodelista">
    <w:name w:val="List Paragraph"/>
    <w:basedOn w:val="Normal"/>
    <w:uiPriority w:val="34"/>
    <w:qFormat/>
    <w:rsid w:val="00EE7AD3"/>
    <w:pPr>
      <w:spacing w:after="200" w:line="276" w:lineRule="auto"/>
      <w:ind w:left="720"/>
      <w:contextualSpacing/>
    </w:pPr>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2016-01-23T12:34:00Z</dcterms:created>
  <dcterms:modified xsi:type="dcterms:W3CDTF">2016-01-23T12:35:00Z</dcterms:modified>
</cp:coreProperties>
</file>